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2F905721" w:rsidR="00B53A27" w:rsidRPr="00936D55" w:rsidRDefault="009F6EB4" w:rsidP="009F6EB4">
            <w:pPr>
              <w:spacing w:after="0" w:line="276" w:lineRule="auto"/>
              <w:jc w:val="both"/>
              <w:rPr>
                <w:rFonts w:asciiTheme="minorHAnsi" w:hAnsiTheme="minorHAnsi" w:cstheme="minorHAnsi"/>
              </w:rPr>
            </w:pPr>
            <w:r>
              <w:t>E017 Promover la atención y prevención de la violencia contra las mujeres, proyecto O002: Programa de fortalecimiento a la transversalidad de la perspectiva de género</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11CA0C79" w:rsidR="00B53A27" w:rsidRPr="00936D55" w:rsidRDefault="009F6EB4" w:rsidP="00B53A27">
            <w:pPr>
              <w:spacing w:after="0" w:line="276" w:lineRule="auto"/>
              <w:rPr>
                <w:rFonts w:asciiTheme="minorHAnsi" w:hAnsiTheme="minorHAnsi" w:cstheme="minorHAnsi"/>
              </w:rPr>
            </w:pPr>
            <w:r>
              <w:rPr>
                <w:rFonts w:asciiTheme="minorHAnsi" w:hAnsiTheme="minorHAnsi" w:cstheme="minorHAnsi"/>
              </w:rPr>
              <w:t>Secretaría de las Mujeres (SEMUJERES)</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53E23E3E" w:rsidR="00B53A27" w:rsidRPr="00936D55" w:rsidRDefault="009F6EB4" w:rsidP="00B53A27">
            <w:pPr>
              <w:spacing w:after="0" w:line="276" w:lineRule="auto"/>
              <w:rPr>
                <w:rFonts w:asciiTheme="minorHAnsi" w:hAnsiTheme="minorHAnsi" w:cstheme="minorHAnsi"/>
              </w:rPr>
            </w:pPr>
            <w:r>
              <w:rPr>
                <w:rFonts w:asciiTheme="minorHAnsi" w:hAnsiTheme="minorHAnsi" w:cstheme="minorHAnsi"/>
              </w:rPr>
              <w:t>SEMUJERES</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3718CC24" w:rsidR="00B53A27" w:rsidRPr="00936D55" w:rsidRDefault="009F6EB4" w:rsidP="00B53A27">
            <w:pPr>
              <w:spacing w:after="0" w:line="276" w:lineRule="auto"/>
              <w:rPr>
                <w:rFonts w:asciiTheme="minorHAnsi" w:hAnsiTheme="minorHAnsi" w:cstheme="minorHAnsi"/>
              </w:rPr>
            </w:pPr>
            <w:r>
              <w:rPr>
                <w:rFonts w:asciiTheme="minorHAnsi" w:hAnsiTheme="minorHAnsi" w:cstheme="minorHAnsi"/>
              </w:rPr>
              <w:t>Desempeño</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01694B1F" w:rsidR="00B53A27" w:rsidRPr="00936D55" w:rsidRDefault="009F6EB4" w:rsidP="00B53A27">
            <w:pPr>
              <w:spacing w:after="0" w:line="276" w:lineRule="auto"/>
              <w:rPr>
                <w:rFonts w:asciiTheme="minorHAnsi" w:hAnsiTheme="minorHAnsi" w:cstheme="minorHAnsi"/>
              </w:rPr>
            </w:pPr>
            <w:r>
              <w:rPr>
                <w:rFonts w:asciiTheme="minorHAnsi" w:hAnsiTheme="minorHAnsi" w:cstheme="minorHAnsi"/>
              </w:rPr>
              <w:t>2023</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1"/>
        <w:gridCol w:w="2234"/>
        <w:gridCol w:w="2743"/>
        <w:gridCol w:w="2306"/>
      </w:tblGrid>
      <w:tr w:rsidR="00BD0258" w:rsidRPr="00BD0258" w14:paraId="144EB42F" w14:textId="77777777" w:rsidTr="00BD3474">
        <w:trPr>
          <w:trHeight w:val="886"/>
          <w:tblHeader/>
        </w:trPr>
        <w:tc>
          <w:tcPr>
            <w:tcW w:w="1941"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34"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43"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6"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1C1825" w:rsidRPr="00936D55" w14:paraId="3F02C46D" w14:textId="77777777" w:rsidTr="00D81EEE">
        <w:tc>
          <w:tcPr>
            <w:tcW w:w="1941" w:type="dxa"/>
            <w:vAlign w:val="center"/>
          </w:tcPr>
          <w:p w14:paraId="70425297" w14:textId="27D32131"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34" w:type="dxa"/>
            <w:vAlign w:val="center"/>
          </w:tcPr>
          <w:p w14:paraId="36CFBCCD" w14:textId="1FD2418F" w:rsidR="00936D55" w:rsidRPr="00936D55" w:rsidRDefault="00F33E0A" w:rsidP="00861D0A">
            <w:pPr>
              <w:spacing w:after="0" w:line="276" w:lineRule="auto"/>
              <w:jc w:val="both"/>
              <w:rPr>
                <w:rFonts w:asciiTheme="minorHAnsi" w:hAnsiTheme="minorHAnsi" w:cstheme="minorHAnsi"/>
                <w:sz w:val="20"/>
                <w:szCs w:val="20"/>
              </w:rPr>
            </w:pPr>
            <w:r w:rsidRPr="00F33E0A">
              <w:rPr>
                <w:rFonts w:asciiTheme="minorHAnsi" w:hAnsiTheme="minorHAnsi" w:cstheme="minorHAnsi"/>
                <w:sz w:val="20"/>
                <w:szCs w:val="20"/>
              </w:rPr>
              <w:t>Sin embargo, es necesario realizar un diagnóstico referente a información del Pp, así como definir y cuantificar las poblaciones (potencial, objetivo y a</w:t>
            </w:r>
            <w:r w:rsidR="00BD3474">
              <w:rPr>
                <w:rFonts w:asciiTheme="minorHAnsi" w:hAnsiTheme="minorHAnsi" w:cstheme="minorHAnsi"/>
                <w:sz w:val="20"/>
                <w:szCs w:val="20"/>
              </w:rPr>
              <w:t>tendida) del Pp a nivel estatal</w:t>
            </w:r>
          </w:p>
        </w:tc>
        <w:tc>
          <w:tcPr>
            <w:tcW w:w="2743" w:type="dxa"/>
            <w:shd w:val="clear" w:color="auto" w:fill="FFFFFF" w:themeFill="background1"/>
            <w:vAlign w:val="center"/>
          </w:tcPr>
          <w:p w14:paraId="5A8AE607" w14:textId="450068AA" w:rsidR="0056725C" w:rsidRPr="00927D6F" w:rsidRDefault="00884241" w:rsidP="00D81EEE">
            <w:pPr>
              <w:spacing w:after="0" w:line="276" w:lineRule="auto"/>
              <w:jc w:val="both"/>
              <w:rPr>
                <w:rFonts w:asciiTheme="minorHAnsi" w:hAnsiTheme="minorHAnsi" w:cstheme="minorHAnsi"/>
                <w:sz w:val="20"/>
                <w:szCs w:val="20"/>
              </w:rPr>
            </w:pPr>
            <w:r w:rsidRPr="00927D6F">
              <w:rPr>
                <w:rFonts w:asciiTheme="minorHAnsi" w:hAnsiTheme="minorHAnsi" w:cstheme="minorHAnsi"/>
                <w:sz w:val="20"/>
                <w:szCs w:val="20"/>
              </w:rPr>
              <w:t>Es factible realizar dicha actividad de mejora.</w:t>
            </w:r>
          </w:p>
        </w:tc>
        <w:tc>
          <w:tcPr>
            <w:tcW w:w="2306" w:type="dxa"/>
            <w:shd w:val="clear" w:color="auto" w:fill="FFFFFF" w:themeFill="background1"/>
            <w:vAlign w:val="center"/>
          </w:tcPr>
          <w:p w14:paraId="1DA7876B" w14:textId="1C5EB5CB" w:rsidR="00936D55" w:rsidRPr="00927D6F" w:rsidRDefault="006C3A84" w:rsidP="0056725C">
            <w:pPr>
              <w:spacing w:after="0" w:line="276" w:lineRule="auto"/>
              <w:jc w:val="both"/>
              <w:rPr>
                <w:rFonts w:asciiTheme="minorHAnsi" w:hAnsiTheme="minorHAnsi" w:cstheme="minorHAnsi"/>
                <w:sz w:val="20"/>
                <w:szCs w:val="20"/>
              </w:rPr>
            </w:pPr>
            <w:r w:rsidRPr="00927D6F">
              <w:rPr>
                <w:rFonts w:asciiTheme="minorHAnsi" w:hAnsiTheme="minorHAnsi" w:cstheme="minorHAnsi"/>
                <w:sz w:val="20"/>
                <w:szCs w:val="20"/>
              </w:rPr>
              <w:t>Redefinir y cuantificar la población potencial, la objetivo y la atendida</w:t>
            </w:r>
          </w:p>
        </w:tc>
      </w:tr>
      <w:tr w:rsidR="001C1825" w:rsidRPr="00936D55" w14:paraId="4D3DAD0C" w14:textId="77777777" w:rsidTr="00D81EEE">
        <w:tc>
          <w:tcPr>
            <w:tcW w:w="1941" w:type="dxa"/>
            <w:vAlign w:val="center"/>
          </w:tcPr>
          <w:p w14:paraId="6EBB4888" w14:textId="77777777"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34" w:type="dxa"/>
            <w:vAlign w:val="center"/>
          </w:tcPr>
          <w:p w14:paraId="07DCA505" w14:textId="5EB53E5C" w:rsidR="00936D55" w:rsidRPr="00936D55" w:rsidRDefault="00BD3474" w:rsidP="00861D0A">
            <w:pPr>
              <w:spacing w:after="0" w:line="276" w:lineRule="auto"/>
              <w:jc w:val="both"/>
              <w:rPr>
                <w:rFonts w:asciiTheme="minorHAnsi" w:hAnsiTheme="minorHAnsi" w:cstheme="minorHAnsi"/>
                <w:sz w:val="20"/>
                <w:szCs w:val="20"/>
              </w:rPr>
            </w:pPr>
            <w:r w:rsidRPr="00BD3474">
              <w:rPr>
                <w:rFonts w:asciiTheme="minorHAnsi" w:hAnsiTheme="minorHAnsi" w:cstheme="minorHAnsi"/>
                <w:sz w:val="20"/>
                <w:szCs w:val="20"/>
              </w:rPr>
              <w:t>Es recomendable que el Programa rediseñe los indicadores de los niveles Fin, Propósito, Componente y Actividad de la MIR, lo anterior con el propósito de que se incluyan indicadores estratégicos y de gestión que faciliten un medio sencillo de medir y monitorear los avances y resultados en el cumplimiento de sus objeti</w:t>
            </w:r>
            <w:r>
              <w:rPr>
                <w:rFonts w:asciiTheme="minorHAnsi" w:hAnsiTheme="minorHAnsi" w:cstheme="minorHAnsi"/>
                <w:sz w:val="20"/>
                <w:szCs w:val="20"/>
              </w:rPr>
              <w:t>vos y metas del programa</w:t>
            </w:r>
          </w:p>
        </w:tc>
        <w:tc>
          <w:tcPr>
            <w:tcW w:w="2743" w:type="dxa"/>
            <w:shd w:val="clear" w:color="auto" w:fill="FFFFFF" w:themeFill="background1"/>
            <w:vAlign w:val="center"/>
          </w:tcPr>
          <w:p w14:paraId="36B3706E" w14:textId="7E78FAE5" w:rsidR="00936D55" w:rsidRPr="00927D6F" w:rsidRDefault="00D81EEE" w:rsidP="00884241">
            <w:pPr>
              <w:spacing w:after="0" w:line="276" w:lineRule="auto"/>
              <w:jc w:val="both"/>
              <w:rPr>
                <w:rFonts w:asciiTheme="minorHAnsi" w:hAnsiTheme="minorHAnsi" w:cstheme="minorHAnsi"/>
                <w:sz w:val="20"/>
                <w:szCs w:val="20"/>
              </w:rPr>
            </w:pPr>
            <w:r w:rsidRPr="00927D6F">
              <w:rPr>
                <w:rFonts w:asciiTheme="minorHAnsi" w:hAnsiTheme="minorHAnsi" w:cstheme="minorHAnsi"/>
                <w:sz w:val="20"/>
                <w:szCs w:val="20"/>
              </w:rPr>
              <w:t xml:space="preserve">Es factible </w:t>
            </w:r>
            <w:r w:rsidR="00884241" w:rsidRPr="00927D6F">
              <w:rPr>
                <w:rFonts w:asciiTheme="minorHAnsi" w:hAnsiTheme="minorHAnsi" w:cstheme="minorHAnsi"/>
                <w:sz w:val="20"/>
                <w:szCs w:val="20"/>
              </w:rPr>
              <w:t>realizar dicha actividad de mejora.</w:t>
            </w:r>
          </w:p>
        </w:tc>
        <w:tc>
          <w:tcPr>
            <w:tcW w:w="2306" w:type="dxa"/>
            <w:shd w:val="clear" w:color="auto" w:fill="FFFFFF" w:themeFill="background1"/>
            <w:vAlign w:val="center"/>
          </w:tcPr>
          <w:p w14:paraId="1CED0DF8" w14:textId="5C46F249" w:rsidR="00936D55" w:rsidRPr="00927D6F" w:rsidRDefault="006C3A84" w:rsidP="0056725C">
            <w:pPr>
              <w:spacing w:after="0" w:line="276" w:lineRule="auto"/>
              <w:jc w:val="both"/>
              <w:rPr>
                <w:rFonts w:asciiTheme="minorHAnsi" w:hAnsiTheme="minorHAnsi" w:cstheme="minorHAnsi"/>
                <w:sz w:val="20"/>
                <w:szCs w:val="20"/>
              </w:rPr>
            </w:pPr>
            <w:r w:rsidRPr="00927D6F">
              <w:rPr>
                <w:rFonts w:asciiTheme="minorHAnsi" w:hAnsiTheme="minorHAnsi" w:cstheme="minorHAnsi"/>
                <w:sz w:val="20"/>
                <w:szCs w:val="20"/>
              </w:rPr>
              <w:t>Rediseñar la MIR, sus indicadores y fichas técnicas, así como las metas</w:t>
            </w:r>
          </w:p>
        </w:tc>
      </w:tr>
      <w:tr w:rsidR="00BD3474" w:rsidRPr="00936D55" w14:paraId="6202F808" w14:textId="77777777" w:rsidTr="00884241">
        <w:tc>
          <w:tcPr>
            <w:tcW w:w="1941" w:type="dxa"/>
            <w:vAlign w:val="center"/>
          </w:tcPr>
          <w:p w14:paraId="2FCCAB4C" w14:textId="77777777" w:rsidR="00BD3474" w:rsidRPr="00936D55" w:rsidRDefault="00BD3474" w:rsidP="00B875B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78326ABE" w:rsidR="00BD3474" w:rsidRPr="00D02A3D" w:rsidRDefault="00BD3474" w:rsidP="00B875B8">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34" w:type="dxa"/>
            <w:vMerge w:val="restart"/>
            <w:shd w:val="clear" w:color="auto" w:fill="FFFFFF" w:themeFill="background1"/>
            <w:vAlign w:val="center"/>
          </w:tcPr>
          <w:p w14:paraId="4C3DA5D5" w14:textId="524DCE70" w:rsidR="00BD3474" w:rsidRPr="00861D0A" w:rsidRDefault="00BD3474" w:rsidP="00B875B8">
            <w:pPr>
              <w:spacing w:after="0" w:line="276" w:lineRule="auto"/>
              <w:jc w:val="both"/>
              <w:rPr>
                <w:rFonts w:asciiTheme="minorHAnsi" w:hAnsiTheme="minorHAnsi" w:cstheme="minorHAnsi"/>
                <w:sz w:val="20"/>
                <w:szCs w:val="20"/>
              </w:rPr>
            </w:pPr>
            <w:r w:rsidRPr="00BD3474">
              <w:rPr>
                <w:rFonts w:asciiTheme="minorHAnsi" w:hAnsiTheme="minorHAnsi" w:cstheme="minorHAnsi"/>
                <w:sz w:val="20"/>
                <w:szCs w:val="20"/>
              </w:rPr>
              <w:t xml:space="preserve">Las debilidades que tiene el PFTPG en Sinaloa es que todas sus actividades son </w:t>
            </w:r>
            <w:r w:rsidRPr="00BD3474">
              <w:rPr>
                <w:rFonts w:asciiTheme="minorHAnsi" w:hAnsiTheme="minorHAnsi" w:cstheme="minorHAnsi"/>
                <w:sz w:val="20"/>
                <w:szCs w:val="20"/>
              </w:rPr>
              <w:lastRenderedPageBreak/>
              <w:t>temporales, no hay acciones consecutivas en los 18 municipios que permita tener más avances en el tema de la igualdad sustantiva lo cual alude al ejercicio pleno de los derechos universales y a la capacidad de hacerlos efectivos en la vida cotidiana</w:t>
            </w:r>
          </w:p>
        </w:tc>
        <w:tc>
          <w:tcPr>
            <w:tcW w:w="2743" w:type="dxa"/>
            <w:shd w:val="clear" w:color="auto" w:fill="FFFFFF" w:themeFill="background1"/>
            <w:vAlign w:val="center"/>
          </w:tcPr>
          <w:p w14:paraId="740FC487" w14:textId="3BBC2CAE" w:rsidR="00BD3474" w:rsidRPr="00927D6F" w:rsidRDefault="00884241" w:rsidP="00B875B8">
            <w:pPr>
              <w:spacing w:after="0" w:line="276" w:lineRule="auto"/>
              <w:jc w:val="both"/>
              <w:rPr>
                <w:rFonts w:asciiTheme="minorHAnsi" w:hAnsiTheme="minorHAnsi" w:cstheme="minorHAnsi"/>
                <w:sz w:val="20"/>
                <w:szCs w:val="20"/>
              </w:rPr>
            </w:pPr>
            <w:r w:rsidRPr="00927D6F">
              <w:rPr>
                <w:rFonts w:asciiTheme="minorHAnsi" w:hAnsiTheme="minorHAnsi" w:cstheme="minorHAnsi"/>
                <w:sz w:val="20"/>
                <w:szCs w:val="20"/>
              </w:rPr>
              <w:lastRenderedPageBreak/>
              <w:t>Es factible realizar dicha actividad de mejora.</w:t>
            </w:r>
          </w:p>
        </w:tc>
        <w:tc>
          <w:tcPr>
            <w:tcW w:w="2306" w:type="dxa"/>
            <w:shd w:val="clear" w:color="auto" w:fill="FFFFFF" w:themeFill="background1"/>
            <w:vAlign w:val="center"/>
          </w:tcPr>
          <w:p w14:paraId="1BF35B51" w14:textId="69B13E4E" w:rsidR="00BD3474" w:rsidRPr="00927D6F" w:rsidRDefault="00BD3474" w:rsidP="00B875B8">
            <w:pPr>
              <w:spacing w:after="0" w:line="276" w:lineRule="auto"/>
              <w:jc w:val="both"/>
              <w:rPr>
                <w:rFonts w:asciiTheme="minorHAnsi" w:hAnsiTheme="minorHAnsi" w:cstheme="minorHAnsi"/>
                <w:sz w:val="20"/>
                <w:szCs w:val="20"/>
              </w:rPr>
            </w:pPr>
            <w:r w:rsidRPr="00927D6F">
              <w:rPr>
                <w:rFonts w:asciiTheme="minorHAnsi" w:hAnsiTheme="minorHAnsi" w:cstheme="minorHAnsi"/>
                <w:sz w:val="20"/>
                <w:szCs w:val="20"/>
              </w:rPr>
              <w:t xml:space="preserve">Promover actividades y/o acciones de manera fija en los 18 municipios de Sinaloa, que permitan </w:t>
            </w:r>
            <w:r w:rsidRPr="00927D6F">
              <w:rPr>
                <w:rFonts w:asciiTheme="minorHAnsi" w:hAnsiTheme="minorHAnsi" w:cstheme="minorHAnsi"/>
                <w:sz w:val="20"/>
                <w:szCs w:val="20"/>
              </w:rPr>
              <w:lastRenderedPageBreak/>
              <w:t>tener avances respecto al tema de la igualdad sustantiva</w:t>
            </w:r>
          </w:p>
        </w:tc>
      </w:tr>
      <w:tr w:rsidR="00BD3474" w:rsidRPr="00936D55" w14:paraId="018921AC" w14:textId="77777777" w:rsidTr="00884241">
        <w:tc>
          <w:tcPr>
            <w:tcW w:w="1941" w:type="dxa"/>
            <w:vAlign w:val="center"/>
          </w:tcPr>
          <w:p w14:paraId="751C9811" w14:textId="77777777" w:rsidR="00BD3474" w:rsidRPr="00936D55" w:rsidRDefault="00BD3474" w:rsidP="006C3A84">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3876FDAB" w14:textId="60F2719F" w:rsidR="00BD3474" w:rsidRPr="00936D55" w:rsidRDefault="00BD3474" w:rsidP="006C3A84">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4</w:t>
            </w:r>
          </w:p>
        </w:tc>
        <w:tc>
          <w:tcPr>
            <w:tcW w:w="2234" w:type="dxa"/>
            <w:vMerge/>
            <w:shd w:val="clear" w:color="auto" w:fill="FFFFFF" w:themeFill="background1"/>
            <w:vAlign w:val="center"/>
          </w:tcPr>
          <w:p w14:paraId="47EE59D2" w14:textId="77777777" w:rsidR="00BD3474" w:rsidRPr="00861D0A" w:rsidRDefault="00BD3474" w:rsidP="00B875B8">
            <w:pPr>
              <w:spacing w:after="0" w:line="276" w:lineRule="auto"/>
              <w:jc w:val="both"/>
              <w:rPr>
                <w:rFonts w:asciiTheme="minorHAnsi" w:hAnsiTheme="minorHAnsi" w:cstheme="minorHAnsi"/>
                <w:sz w:val="20"/>
                <w:szCs w:val="20"/>
              </w:rPr>
            </w:pPr>
          </w:p>
        </w:tc>
        <w:tc>
          <w:tcPr>
            <w:tcW w:w="2743" w:type="dxa"/>
            <w:shd w:val="clear" w:color="auto" w:fill="FFFFFF" w:themeFill="background1"/>
            <w:vAlign w:val="center"/>
          </w:tcPr>
          <w:p w14:paraId="1DF898D2" w14:textId="3D0AF0C5" w:rsidR="00BD3474" w:rsidRPr="00927D6F" w:rsidRDefault="00884241" w:rsidP="00B875B8">
            <w:pPr>
              <w:spacing w:after="0" w:line="276" w:lineRule="auto"/>
              <w:jc w:val="both"/>
              <w:rPr>
                <w:rFonts w:asciiTheme="minorHAnsi" w:hAnsiTheme="minorHAnsi" w:cstheme="minorHAnsi"/>
                <w:sz w:val="20"/>
                <w:szCs w:val="20"/>
              </w:rPr>
            </w:pPr>
            <w:r w:rsidRPr="00927D6F">
              <w:rPr>
                <w:rFonts w:asciiTheme="minorHAnsi" w:hAnsiTheme="minorHAnsi" w:cstheme="minorHAnsi"/>
                <w:sz w:val="20"/>
                <w:szCs w:val="20"/>
              </w:rPr>
              <w:t>Es factible realizar dicha actividad de mejora.</w:t>
            </w:r>
          </w:p>
        </w:tc>
        <w:tc>
          <w:tcPr>
            <w:tcW w:w="2306" w:type="dxa"/>
            <w:shd w:val="clear" w:color="auto" w:fill="FFFFFF" w:themeFill="background1"/>
            <w:vAlign w:val="center"/>
          </w:tcPr>
          <w:p w14:paraId="650B675C" w14:textId="3B2DD90D" w:rsidR="00BD3474" w:rsidRPr="00927D6F" w:rsidRDefault="00BD3474" w:rsidP="00B875B8">
            <w:pPr>
              <w:spacing w:after="0" w:line="276" w:lineRule="auto"/>
              <w:jc w:val="both"/>
              <w:rPr>
                <w:rFonts w:asciiTheme="minorHAnsi" w:hAnsiTheme="minorHAnsi" w:cstheme="minorHAnsi"/>
                <w:sz w:val="20"/>
                <w:szCs w:val="20"/>
              </w:rPr>
            </w:pPr>
            <w:r w:rsidRPr="00927D6F">
              <w:rPr>
                <w:rFonts w:asciiTheme="minorHAnsi" w:hAnsiTheme="minorHAnsi" w:cstheme="minorHAnsi"/>
                <w:sz w:val="20"/>
                <w:szCs w:val="20"/>
              </w:rPr>
              <w:t>Llevar a cabo talleres y/o capacitaciones constantes respecto a temas que ejecuta el programa</w:t>
            </w:r>
          </w:p>
        </w:tc>
      </w:tr>
      <w:tr w:rsidR="006C3A84" w:rsidRPr="00936D55" w14:paraId="3571E53C" w14:textId="77777777" w:rsidTr="00884241">
        <w:tc>
          <w:tcPr>
            <w:tcW w:w="1941" w:type="dxa"/>
            <w:vAlign w:val="center"/>
          </w:tcPr>
          <w:p w14:paraId="5FFE0C4E" w14:textId="77777777" w:rsidR="006C3A84" w:rsidRPr="00936D55" w:rsidRDefault="006C3A84" w:rsidP="006C3A84">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38BFCECA" w14:textId="0D208813" w:rsidR="006C3A84" w:rsidRPr="006C3A84" w:rsidRDefault="006C3A84" w:rsidP="006C3A84">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5</w:t>
            </w:r>
          </w:p>
        </w:tc>
        <w:tc>
          <w:tcPr>
            <w:tcW w:w="2234" w:type="dxa"/>
            <w:shd w:val="clear" w:color="auto" w:fill="FFFFFF" w:themeFill="background1"/>
            <w:vAlign w:val="center"/>
          </w:tcPr>
          <w:p w14:paraId="316CFDEA" w14:textId="3D40F327" w:rsidR="006C3A84" w:rsidRPr="00861D0A" w:rsidRDefault="00842BCF" w:rsidP="00B875B8">
            <w:pPr>
              <w:spacing w:after="0" w:line="276" w:lineRule="auto"/>
              <w:jc w:val="both"/>
              <w:rPr>
                <w:rFonts w:asciiTheme="minorHAnsi" w:hAnsiTheme="minorHAnsi" w:cstheme="minorHAnsi"/>
                <w:sz w:val="20"/>
                <w:szCs w:val="20"/>
              </w:rPr>
            </w:pPr>
            <w:r w:rsidRPr="00842BCF">
              <w:rPr>
                <w:rFonts w:asciiTheme="minorHAnsi" w:hAnsiTheme="minorHAnsi" w:cstheme="minorHAnsi"/>
                <w:sz w:val="20"/>
                <w:szCs w:val="20"/>
              </w:rPr>
              <w:t>A partir del 2023, el PFTPG cambia de nombre a Programa para el Adelanto, Bienestar e Igualdad de las Mujeres (PROABIM)</w:t>
            </w:r>
          </w:p>
        </w:tc>
        <w:tc>
          <w:tcPr>
            <w:tcW w:w="2743" w:type="dxa"/>
            <w:shd w:val="clear" w:color="auto" w:fill="FFFFFF" w:themeFill="background1"/>
            <w:vAlign w:val="center"/>
          </w:tcPr>
          <w:p w14:paraId="3D55CE61" w14:textId="517BBBD2" w:rsidR="006C3A84" w:rsidRPr="00927D6F" w:rsidRDefault="00884241" w:rsidP="00B875B8">
            <w:pPr>
              <w:spacing w:after="0" w:line="276" w:lineRule="auto"/>
              <w:jc w:val="both"/>
              <w:rPr>
                <w:rFonts w:asciiTheme="minorHAnsi" w:hAnsiTheme="minorHAnsi" w:cstheme="minorHAnsi"/>
                <w:sz w:val="20"/>
                <w:szCs w:val="20"/>
              </w:rPr>
            </w:pPr>
            <w:r w:rsidRPr="00927D6F">
              <w:rPr>
                <w:rFonts w:asciiTheme="minorHAnsi" w:hAnsiTheme="minorHAnsi" w:cstheme="minorHAnsi"/>
                <w:sz w:val="20"/>
                <w:szCs w:val="20"/>
              </w:rPr>
              <w:t>Es factible reali</w:t>
            </w:r>
            <w:bookmarkStart w:id="1" w:name="_GoBack"/>
            <w:bookmarkEnd w:id="1"/>
            <w:r w:rsidRPr="00927D6F">
              <w:rPr>
                <w:rFonts w:asciiTheme="minorHAnsi" w:hAnsiTheme="minorHAnsi" w:cstheme="minorHAnsi"/>
                <w:sz w:val="20"/>
                <w:szCs w:val="20"/>
              </w:rPr>
              <w:t>zar dicha actividad de mejora.</w:t>
            </w:r>
          </w:p>
        </w:tc>
        <w:tc>
          <w:tcPr>
            <w:tcW w:w="2306" w:type="dxa"/>
            <w:shd w:val="clear" w:color="auto" w:fill="FFFFFF" w:themeFill="background1"/>
            <w:vAlign w:val="center"/>
          </w:tcPr>
          <w:p w14:paraId="1FDB26F2" w14:textId="79890053" w:rsidR="006C3A84" w:rsidRPr="00927D6F" w:rsidRDefault="006C3A84" w:rsidP="00B875B8">
            <w:pPr>
              <w:spacing w:after="0" w:line="276" w:lineRule="auto"/>
              <w:jc w:val="both"/>
              <w:rPr>
                <w:rFonts w:asciiTheme="minorHAnsi" w:hAnsiTheme="minorHAnsi" w:cstheme="minorHAnsi"/>
                <w:sz w:val="20"/>
                <w:szCs w:val="20"/>
              </w:rPr>
            </w:pPr>
            <w:r w:rsidRPr="00927D6F">
              <w:rPr>
                <w:rFonts w:asciiTheme="minorHAnsi" w:hAnsiTheme="minorHAnsi" w:cstheme="minorHAnsi"/>
                <w:sz w:val="20"/>
                <w:szCs w:val="20"/>
              </w:rPr>
              <w:t>Analizar la vinculación de la Matriz de Indicadores para Resultados (MIR) para que sea coherente con las Reglas de Operación del Programa de Fortalecimiento a la Transversalidad de la Perspectiva de Género</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352D6ADF"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de </w:t>
      </w:r>
      <w:r w:rsidR="006C3A84">
        <w:rPr>
          <w:rFonts w:asciiTheme="minorHAnsi" w:hAnsiTheme="minorHAnsi" w:cstheme="minorHAnsi"/>
          <w:sz w:val="20"/>
          <w:szCs w:val="24"/>
        </w:rPr>
        <w:t>Desempeño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6B9F82CA" w14:textId="25FF5C08" w:rsidR="00B875B8" w:rsidRDefault="009F6EB4" w:rsidP="009F6EB4">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L</w:t>
      </w:r>
      <w:r w:rsidRPr="009F6EB4">
        <w:rPr>
          <w:rFonts w:asciiTheme="minorHAnsi" w:hAnsiTheme="minorHAnsi" w:cstheme="minorHAnsi"/>
          <w:sz w:val="20"/>
          <w:szCs w:val="20"/>
        </w:rPr>
        <w:t>a SEMUJERES a través de la Subsecretaría de Acceso a una Vida Libre de Violencia y de la Subsecretaría de Igualdad Sustantiva realizaron 11,816 servicios</w:t>
      </w:r>
      <w:r>
        <w:rPr>
          <w:rFonts w:asciiTheme="minorHAnsi" w:hAnsiTheme="minorHAnsi" w:cstheme="minorHAnsi"/>
          <w:sz w:val="20"/>
          <w:szCs w:val="20"/>
        </w:rPr>
        <w:t>.</w:t>
      </w:r>
    </w:p>
    <w:p w14:paraId="507A6A5C" w14:textId="13E3930C" w:rsidR="009F6EB4" w:rsidRDefault="009F6EB4" w:rsidP="009F6EB4">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E</w:t>
      </w:r>
      <w:r w:rsidRPr="009F6EB4">
        <w:rPr>
          <w:rFonts w:asciiTheme="minorHAnsi" w:hAnsiTheme="minorHAnsi" w:cstheme="minorHAnsi"/>
          <w:sz w:val="20"/>
          <w:szCs w:val="20"/>
        </w:rPr>
        <w:t>l programa tuvo una población objetivo de 10,000 mujeres y población general, logrando beneficiar a 10,616 personas en los 18 municipios del Estado de Sinaloa</w:t>
      </w:r>
      <w:r>
        <w:rPr>
          <w:rFonts w:asciiTheme="minorHAnsi" w:hAnsiTheme="minorHAnsi" w:cstheme="minorHAnsi"/>
          <w:sz w:val="20"/>
          <w:szCs w:val="20"/>
        </w:rPr>
        <w:t>.</w:t>
      </w:r>
    </w:p>
    <w:p w14:paraId="1C8CF05A" w14:textId="7B0A3998" w:rsidR="009F6EB4" w:rsidRDefault="009F6EB4" w:rsidP="009F6EB4">
      <w:pPr>
        <w:pStyle w:val="Prrafodelista"/>
        <w:numPr>
          <w:ilvl w:val="0"/>
          <w:numId w:val="3"/>
        </w:numPr>
        <w:spacing w:line="276" w:lineRule="auto"/>
        <w:ind w:right="1"/>
        <w:jc w:val="both"/>
        <w:rPr>
          <w:rFonts w:asciiTheme="minorHAnsi" w:hAnsiTheme="minorHAnsi" w:cstheme="minorHAnsi"/>
          <w:sz w:val="20"/>
          <w:szCs w:val="20"/>
        </w:rPr>
      </w:pPr>
      <w:r w:rsidRPr="009F6EB4">
        <w:rPr>
          <w:rFonts w:asciiTheme="minorHAnsi" w:hAnsiTheme="minorHAnsi" w:cstheme="minorHAnsi"/>
          <w:sz w:val="20"/>
          <w:szCs w:val="20"/>
        </w:rPr>
        <w:t>Cabe mencionar que en donde se presentó una mayor cobertura fueron en los municipios de Ahome, Guasave, Rosario, Mazatlán, Escuinapa y Navolato, esto debido a que ellos se encuentran instalados los Centros para el Desarrollo de las Mujeres y la Estrategia de territorialización de empoderamiento económico acciones que fortalecen el programa; y en contraste con los municipios de Salvador Alvarado, San Ignacio, Mocorito, Sinaloa, Cosalá y Badiraguato, los cuales, fueron los municipios con menor cobertura, sin embargo, la cobertura de dicho programa es para todo el estado de Sinaloa.</w:t>
      </w:r>
    </w:p>
    <w:p w14:paraId="0E81E173" w14:textId="77777777" w:rsidR="009F6EB4" w:rsidRPr="009F6EB4" w:rsidRDefault="009F6EB4" w:rsidP="009F6EB4">
      <w:pPr>
        <w:pStyle w:val="Prrafodelista"/>
        <w:numPr>
          <w:ilvl w:val="0"/>
          <w:numId w:val="3"/>
        </w:numPr>
        <w:spacing w:line="276" w:lineRule="auto"/>
        <w:ind w:right="1"/>
        <w:jc w:val="both"/>
        <w:rPr>
          <w:rFonts w:asciiTheme="minorHAnsi" w:hAnsiTheme="minorHAnsi" w:cstheme="minorHAnsi"/>
          <w:sz w:val="20"/>
          <w:szCs w:val="20"/>
        </w:rPr>
      </w:pPr>
      <w:r w:rsidRPr="009F6EB4">
        <w:rPr>
          <w:rFonts w:asciiTheme="minorHAnsi" w:hAnsiTheme="minorHAnsi" w:cstheme="minorHAnsi"/>
          <w:sz w:val="20"/>
          <w:szCs w:val="20"/>
        </w:rPr>
        <w:lastRenderedPageBreak/>
        <w:t>El Pp tiene complementariedad con el Fondo para el Bienestar y el Adelanto de las Mujeres (FOBAM) y el Programa de Fortalecimiento de la Igualdad Sustantiva entre Mujeres y Hombres, ambos operados por el INMUJERES, también con el Programa de Apoyo a las Instancias de Mujeres en las Entidades Federativas (PAIMEF), esto contribuye a cumplir con la planeación nacional establecida en el PND y sus programas derivados.</w:t>
      </w:r>
    </w:p>
    <w:p w14:paraId="27B2A549" w14:textId="77777777" w:rsidR="009F6EB4" w:rsidRPr="009F6EB4" w:rsidRDefault="009F6EB4" w:rsidP="009F6EB4">
      <w:pPr>
        <w:pStyle w:val="Prrafodelista"/>
        <w:numPr>
          <w:ilvl w:val="0"/>
          <w:numId w:val="3"/>
        </w:numPr>
        <w:spacing w:line="276" w:lineRule="auto"/>
        <w:ind w:right="1"/>
        <w:jc w:val="both"/>
        <w:rPr>
          <w:rFonts w:asciiTheme="minorHAnsi" w:hAnsiTheme="minorHAnsi" w:cstheme="minorHAnsi"/>
          <w:sz w:val="20"/>
          <w:szCs w:val="20"/>
        </w:rPr>
      </w:pPr>
      <w:r w:rsidRPr="009F6EB4">
        <w:rPr>
          <w:rFonts w:asciiTheme="minorHAnsi" w:hAnsiTheme="minorHAnsi" w:cstheme="minorHAnsi"/>
          <w:sz w:val="20"/>
          <w:szCs w:val="20"/>
        </w:rPr>
        <w:t>Se actualizó la MIR y se analizó su vinculación con las ROP, favoreciendo la coherencia entre el diseño, operación y seguimiento del Programa.</w:t>
      </w:r>
    </w:p>
    <w:p w14:paraId="52507CB8" w14:textId="5BBAAF07" w:rsidR="009F6EB4" w:rsidRDefault="009F6EB4" w:rsidP="009F6EB4">
      <w:pPr>
        <w:pStyle w:val="Prrafodelista"/>
        <w:numPr>
          <w:ilvl w:val="0"/>
          <w:numId w:val="3"/>
        </w:numPr>
        <w:spacing w:line="276" w:lineRule="auto"/>
        <w:ind w:right="1"/>
        <w:jc w:val="both"/>
        <w:rPr>
          <w:rFonts w:asciiTheme="minorHAnsi" w:hAnsiTheme="minorHAnsi" w:cstheme="minorHAnsi"/>
          <w:sz w:val="20"/>
          <w:szCs w:val="20"/>
        </w:rPr>
      </w:pPr>
      <w:r w:rsidRPr="009F6EB4">
        <w:rPr>
          <w:rFonts w:asciiTheme="minorHAnsi" w:hAnsiTheme="minorHAnsi" w:cstheme="minorHAnsi"/>
          <w:sz w:val="20"/>
          <w:szCs w:val="20"/>
        </w:rPr>
        <w:t>Se simplificó la presentación de los informes de avance físico financiero y cierre, lo cual facilitó a los MAM concluir dentro de los plazos establecidos en las ROP.</w:t>
      </w:r>
    </w:p>
    <w:p w14:paraId="23D97B8F" w14:textId="1D6AD163" w:rsidR="009F6EB4" w:rsidRDefault="009F6EB4" w:rsidP="009F6EB4">
      <w:pPr>
        <w:pStyle w:val="Prrafodelista"/>
        <w:numPr>
          <w:ilvl w:val="0"/>
          <w:numId w:val="3"/>
        </w:numPr>
        <w:spacing w:line="276" w:lineRule="auto"/>
        <w:ind w:right="1"/>
        <w:jc w:val="both"/>
        <w:rPr>
          <w:rFonts w:asciiTheme="minorHAnsi" w:hAnsiTheme="minorHAnsi" w:cstheme="minorHAnsi"/>
          <w:sz w:val="20"/>
          <w:szCs w:val="20"/>
        </w:rPr>
      </w:pPr>
      <w:r w:rsidRPr="009F6EB4">
        <w:rPr>
          <w:rFonts w:asciiTheme="minorHAnsi" w:hAnsiTheme="minorHAnsi" w:cstheme="minorHAnsi"/>
          <w:sz w:val="20"/>
          <w:szCs w:val="20"/>
        </w:rPr>
        <w:t>Existe coordinación entre la IMEF, las IMM, y actores estratégicos lo que posibilita la correcta ejecución de las actividades en todo el Estado.</w:t>
      </w:r>
    </w:p>
    <w:p w14:paraId="25EF7446" w14:textId="6AF9C9C4" w:rsidR="009F6EB4" w:rsidRDefault="009F6EB4" w:rsidP="00BC7FF9">
      <w:pPr>
        <w:pStyle w:val="Prrafodelista"/>
        <w:numPr>
          <w:ilvl w:val="0"/>
          <w:numId w:val="3"/>
        </w:numPr>
        <w:spacing w:line="276" w:lineRule="auto"/>
        <w:ind w:right="1"/>
        <w:jc w:val="both"/>
        <w:rPr>
          <w:rFonts w:asciiTheme="minorHAnsi" w:hAnsiTheme="minorHAnsi" w:cstheme="minorHAnsi"/>
          <w:sz w:val="20"/>
          <w:szCs w:val="20"/>
        </w:rPr>
      </w:pPr>
      <w:r w:rsidRPr="009F6EB4">
        <w:rPr>
          <w:rFonts w:asciiTheme="minorHAnsi" w:hAnsiTheme="minorHAnsi" w:cstheme="minorHAnsi"/>
          <w:sz w:val="20"/>
          <w:szCs w:val="20"/>
        </w:rPr>
        <w:t xml:space="preserve">Las debilidades que tiene el </w:t>
      </w:r>
      <w:r w:rsidR="00BC7FF9" w:rsidRPr="00BC7FF9">
        <w:rPr>
          <w:rFonts w:asciiTheme="minorHAnsi" w:hAnsiTheme="minorHAnsi" w:cstheme="minorHAnsi"/>
          <w:sz w:val="20"/>
          <w:szCs w:val="20"/>
        </w:rPr>
        <w:t xml:space="preserve">PROABIM </w:t>
      </w:r>
      <w:r w:rsidRPr="009F6EB4">
        <w:rPr>
          <w:rFonts w:asciiTheme="minorHAnsi" w:hAnsiTheme="minorHAnsi" w:cstheme="minorHAnsi"/>
          <w:sz w:val="20"/>
          <w:szCs w:val="20"/>
        </w:rPr>
        <w:t>en Sinaloa es que todas sus actividades son temporales, no hay acciones consecutivas en los 18 municipios que permita tener más avances en el tema de la igualdad sustantiva lo cual alude al ejercicio pleno de los derechos universales y a la capacidad de hacerlos efectivos en la vida cotidiana.</w:t>
      </w:r>
    </w:p>
    <w:p w14:paraId="7C406A38" w14:textId="77777777" w:rsidR="009F6EB4" w:rsidRPr="009F6EB4" w:rsidRDefault="009F6EB4" w:rsidP="009F6EB4">
      <w:pPr>
        <w:pStyle w:val="Prrafodelista"/>
        <w:numPr>
          <w:ilvl w:val="0"/>
          <w:numId w:val="3"/>
        </w:numPr>
        <w:spacing w:line="276" w:lineRule="auto"/>
        <w:ind w:right="1"/>
        <w:jc w:val="both"/>
        <w:rPr>
          <w:rFonts w:asciiTheme="minorHAnsi" w:hAnsiTheme="minorHAnsi" w:cstheme="minorHAnsi"/>
          <w:sz w:val="20"/>
          <w:szCs w:val="20"/>
        </w:rPr>
      </w:pPr>
      <w:r w:rsidRPr="009F6EB4">
        <w:rPr>
          <w:rFonts w:asciiTheme="minorHAnsi" w:hAnsiTheme="minorHAnsi" w:cstheme="minorHAnsi"/>
          <w:sz w:val="20"/>
          <w:szCs w:val="20"/>
        </w:rPr>
        <w:t>Derivado de los cambios de administración en el ámbito municipal, existe la posibilidad de que el periodo de ejecución de los proyectos se reduzca y se dificulte su conclusión.</w:t>
      </w:r>
    </w:p>
    <w:p w14:paraId="4E37D71C" w14:textId="77777777" w:rsidR="009F6EB4" w:rsidRPr="009F6EB4" w:rsidRDefault="009F6EB4" w:rsidP="009F6EB4">
      <w:pPr>
        <w:pStyle w:val="Prrafodelista"/>
        <w:numPr>
          <w:ilvl w:val="0"/>
          <w:numId w:val="3"/>
        </w:numPr>
        <w:spacing w:line="276" w:lineRule="auto"/>
        <w:ind w:right="1"/>
        <w:jc w:val="both"/>
        <w:rPr>
          <w:rFonts w:asciiTheme="minorHAnsi" w:hAnsiTheme="minorHAnsi" w:cstheme="minorHAnsi"/>
          <w:sz w:val="20"/>
          <w:szCs w:val="20"/>
        </w:rPr>
      </w:pPr>
      <w:r w:rsidRPr="009F6EB4">
        <w:rPr>
          <w:rFonts w:asciiTheme="minorHAnsi" w:hAnsiTheme="minorHAnsi" w:cstheme="minorHAnsi"/>
          <w:sz w:val="20"/>
          <w:szCs w:val="20"/>
        </w:rPr>
        <w:t>El presupuesto asignado al Programa limita la cobertura y el apoyo económico a la población objetivo.</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2A326057"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9F6EB4">
        <w:rPr>
          <w:rFonts w:asciiTheme="minorHAnsi" w:hAnsiTheme="minorHAnsi" w:cstheme="minorHAnsi"/>
          <w:bCs/>
          <w:sz w:val="20"/>
          <w:szCs w:val="20"/>
          <w:lang w:val="es-ES"/>
        </w:rPr>
        <w:t>3</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8F901" w14:textId="77777777" w:rsidR="007515F1" w:rsidRDefault="007515F1" w:rsidP="008E5209">
      <w:pPr>
        <w:spacing w:after="0" w:line="240" w:lineRule="auto"/>
      </w:pPr>
      <w:r>
        <w:separator/>
      </w:r>
    </w:p>
  </w:endnote>
  <w:endnote w:type="continuationSeparator" w:id="0">
    <w:p w14:paraId="4154E69E" w14:textId="77777777" w:rsidR="007515F1" w:rsidRDefault="007515F1"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53488033"/>
      <w:docPartObj>
        <w:docPartGallery w:val="Page Numbers (Bottom of Page)"/>
        <w:docPartUnique/>
      </w:docPartObj>
    </w:sdtPr>
    <w:sdtEndPr/>
    <w:sdtContent>
      <w:p w14:paraId="1A126E55" w14:textId="282ADC8B"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927D6F">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81087821"/>
      <w:docPartObj>
        <w:docPartGallery w:val="Page Numbers (Bottom of Page)"/>
        <w:docPartUnique/>
      </w:docPartObj>
    </w:sdtPr>
    <w:sdtEndPr/>
    <w:sdtContent>
      <w:p w14:paraId="7B9C6154" w14:textId="33322143"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927D6F" w:rsidRPr="00927D6F">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B85AA" w14:textId="77777777" w:rsidR="007515F1" w:rsidRDefault="007515F1" w:rsidP="008E5209">
      <w:pPr>
        <w:spacing w:after="0" w:line="240" w:lineRule="auto"/>
      </w:pPr>
      <w:r>
        <w:separator/>
      </w:r>
    </w:p>
  </w:footnote>
  <w:footnote w:type="continuationSeparator" w:id="0">
    <w:p w14:paraId="4E4D7FDB" w14:textId="77777777" w:rsidR="007515F1" w:rsidRDefault="007515F1"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5AF8" w14:textId="60BA9E26" w:rsidR="00213BFA" w:rsidRPr="009F6EB4" w:rsidRDefault="00B53A27" w:rsidP="00B53A27">
    <w:pPr>
      <w:ind w:left="3828"/>
      <w:jc w:val="right"/>
      <w:rPr>
        <w:rFonts w:ascii="Medium" w:hAnsi="Medium" w:cs="Arial"/>
        <w:b/>
        <w:color w:val="404040" w:themeColor="text1" w:themeTint="BF"/>
        <w:sz w:val="26"/>
        <w:szCs w:val="26"/>
      </w:rPr>
    </w:pPr>
    <w:r w:rsidRPr="009F6EB4">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9F6EB4">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BCC"/>
    <w:rsid w:val="0069467B"/>
    <w:rsid w:val="006A18AF"/>
    <w:rsid w:val="006A3D81"/>
    <w:rsid w:val="006A631C"/>
    <w:rsid w:val="006C0CCC"/>
    <w:rsid w:val="006C3A84"/>
    <w:rsid w:val="006D4E80"/>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15F1"/>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42BCF"/>
    <w:rsid w:val="00855D89"/>
    <w:rsid w:val="00857815"/>
    <w:rsid w:val="0085799F"/>
    <w:rsid w:val="00860E2B"/>
    <w:rsid w:val="0086126F"/>
    <w:rsid w:val="00861D0A"/>
    <w:rsid w:val="008726E2"/>
    <w:rsid w:val="00874C99"/>
    <w:rsid w:val="0088276D"/>
    <w:rsid w:val="00882D04"/>
    <w:rsid w:val="00884241"/>
    <w:rsid w:val="008905B0"/>
    <w:rsid w:val="00890761"/>
    <w:rsid w:val="008A0BCB"/>
    <w:rsid w:val="008A0CB2"/>
    <w:rsid w:val="008C702A"/>
    <w:rsid w:val="008D08A8"/>
    <w:rsid w:val="008D2433"/>
    <w:rsid w:val="008E3483"/>
    <w:rsid w:val="008E5209"/>
    <w:rsid w:val="008F0494"/>
    <w:rsid w:val="008F1D6E"/>
    <w:rsid w:val="0091170D"/>
    <w:rsid w:val="009160E1"/>
    <w:rsid w:val="00921FFB"/>
    <w:rsid w:val="0092465C"/>
    <w:rsid w:val="009263AC"/>
    <w:rsid w:val="009263AE"/>
    <w:rsid w:val="00927D6F"/>
    <w:rsid w:val="00930172"/>
    <w:rsid w:val="00934890"/>
    <w:rsid w:val="009352D5"/>
    <w:rsid w:val="00936D55"/>
    <w:rsid w:val="00950021"/>
    <w:rsid w:val="00957457"/>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9F6EB4"/>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C7FF9"/>
    <w:rsid w:val="00BD0258"/>
    <w:rsid w:val="00BD3474"/>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7276"/>
    <w:rsid w:val="00D81EEE"/>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6821"/>
    <w:rsid w:val="00F16885"/>
    <w:rsid w:val="00F24D1A"/>
    <w:rsid w:val="00F2576D"/>
    <w:rsid w:val="00F26D0B"/>
    <w:rsid w:val="00F33E0A"/>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9E041-B7D8-4E2F-A974-936CC7B4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837</Words>
  <Characters>4605</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Lenovo</cp:lastModifiedBy>
  <cp:revision>13</cp:revision>
  <cp:lastPrinted>2021-10-18T17:24:00Z</cp:lastPrinted>
  <dcterms:created xsi:type="dcterms:W3CDTF">2022-12-15T17:02:00Z</dcterms:created>
  <dcterms:modified xsi:type="dcterms:W3CDTF">2024-10-15T17:41:00Z</dcterms:modified>
</cp:coreProperties>
</file>